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0" w:right="0" w:firstLine="0"/>
        <w:jc w:val="center"/>
        <w:rPr>
          <w:sz w:val="24"/>
        </w:rPr>
      </w:pPr>
      <w:r>
        <w:rPr>
          <w:sz w:val="24"/>
        </w:rPr>
        <w:t>This</w:t>
      </w:r>
      <w:r>
        <w:rPr>
          <w:spacing w:val="-5"/>
          <w:sz w:val="24"/>
        </w:rPr>
        <w:t> </w:t>
      </w:r>
      <w:r>
        <w:rPr>
          <w:sz w:val="24"/>
        </w:rPr>
        <w:t>endorsement</w:t>
      </w:r>
      <w:r>
        <w:rPr>
          <w:spacing w:val="-2"/>
          <w:sz w:val="24"/>
        </w:rPr>
        <w:t> </w:t>
      </w:r>
      <w:r>
        <w:rPr>
          <w:sz w:val="24"/>
        </w:rPr>
        <w:t>changes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policy.</w:t>
      </w:r>
      <w:r>
        <w:rPr>
          <w:spacing w:val="-5"/>
          <w:sz w:val="24"/>
        </w:rPr>
        <w:t> </w:t>
      </w:r>
      <w:r>
        <w:rPr>
          <w:sz w:val="24"/>
        </w:rPr>
        <w:t>Please</w:t>
      </w:r>
      <w:r>
        <w:rPr>
          <w:spacing w:val="-1"/>
          <w:sz w:val="24"/>
        </w:rPr>
        <w:t> </w:t>
      </w:r>
      <w:r>
        <w:rPr>
          <w:sz w:val="24"/>
        </w:rPr>
        <w:t>read</w:t>
      </w:r>
      <w:r>
        <w:rPr>
          <w:spacing w:val="-4"/>
          <w:sz w:val="24"/>
        </w:rPr>
        <w:t> </w:t>
      </w:r>
      <w:r>
        <w:rPr>
          <w:sz w:val="24"/>
        </w:rPr>
        <w:t>it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carefully.</w:t>
      </w:r>
    </w:p>
    <w:p>
      <w:pPr>
        <w:pStyle w:val="BodyText"/>
        <w:spacing w:before="93"/>
        <w:rPr>
          <w:sz w:val="24"/>
        </w:rPr>
      </w:pPr>
    </w:p>
    <w:p>
      <w:pPr>
        <w:pStyle w:val="Title"/>
        <w:tabs>
          <w:tab w:pos="2846" w:val="left" w:leader="none"/>
          <w:tab w:pos="10137" w:val="left" w:leader="none"/>
        </w:tabs>
        <w:rPr>
          <w:u w:val="none"/>
        </w:rPr>
      </w:pPr>
      <w:r>
        <w:rPr>
          <w:u w:val="single"/>
        </w:rPr>
        <w:tab/>
        <w:t>NEW</w:t>
      </w:r>
      <w:r>
        <w:rPr>
          <w:spacing w:val="-14"/>
          <w:u w:val="single"/>
        </w:rPr>
        <w:t> </w:t>
      </w:r>
      <w:r>
        <w:rPr>
          <w:u w:val="single"/>
        </w:rPr>
        <w:t>HAMPSHIRE</w:t>
      </w:r>
      <w:r>
        <w:rPr>
          <w:spacing w:val="-11"/>
          <w:u w:val="single"/>
        </w:rPr>
        <w:t> </w:t>
      </w:r>
      <w:r>
        <w:rPr>
          <w:spacing w:val="-2"/>
          <w:u w:val="single"/>
        </w:rPr>
        <w:t>CHANGES</w:t>
      </w:r>
      <w:r>
        <w:rPr>
          <w:u w:val="single"/>
        </w:rPr>
        <w:tab/>
      </w:r>
    </w:p>
    <w:p>
      <w:pPr>
        <w:spacing w:before="107"/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>Amendatory</w:t>
      </w:r>
      <w:r>
        <w:rPr>
          <w:b/>
          <w:spacing w:val="-9"/>
          <w:sz w:val="28"/>
        </w:rPr>
        <w:t> </w:t>
      </w:r>
      <w:r>
        <w:rPr>
          <w:b/>
          <w:spacing w:val="-2"/>
          <w:sz w:val="28"/>
        </w:rPr>
        <w:t>Endorsement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57"/>
        <w:rPr>
          <w:b/>
          <w:sz w:val="28"/>
        </w:rPr>
      </w:pPr>
    </w:p>
    <w:p>
      <w:pPr>
        <w:pStyle w:val="BodyText"/>
        <w:ind w:left="360"/>
      </w:pPr>
      <w:r>
        <w:rPr/>
        <w:t>This</w:t>
      </w:r>
      <w:r>
        <w:rPr>
          <w:spacing w:val="-9"/>
        </w:rPr>
        <w:t> </w:t>
      </w:r>
      <w:r>
        <w:rPr/>
        <w:t>endorsement</w:t>
      </w:r>
      <w:r>
        <w:rPr>
          <w:spacing w:val="-7"/>
        </w:rPr>
        <w:t> </w:t>
      </w:r>
      <w:r>
        <w:rPr/>
        <w:t>modifies</w:t>
      </w:r>
      <w:r>
        <w:rPr>
          <w:spacing w:val="-5"/>
        </w:rPr>
        <w:t> </w:t>
      </w:r>
      <w:r>
        <w:rPr/>
        <w:t>the</w:t>
      </w:r>
      <w:r>
        <w:rPr>
          <w:spacing w:val="-8"/>
        </w:rPr>
        <w:t> </w:t>
      </w:r>
      <w:r>
        <w:rPr/>
        <w:t>insurance</w:t>
      </w:r>
      <w:r>
        <w:rPr>
          <w:spacing w:val="-9"/>
        </w:rPr>
        <w:t> </w:t>
      </w:r>
      <w:r>
        <w:rPr/>
        <w:t>provided</w:t>
      </w:r>
      <w:r>
        <w:rPr>
          <w:spacing w:val="-7"/>
        </w:rPr>
        <w:t> </w:t>
      </w:r>
      <w:r>
        <w:rPr/>
        <w:t>under</w:t>
      </w:r>
      <w:r>
        <w:rPr>
          <w:spacing w:val="-8"/>
        </w:rPr>
        <w:t> </w:t>
      </w:r>
      <w:r>
        <w:rPr/>
        <w:t>the</w:t>
      </w:r>
      <w:r>
        <w:rPr>
          <w:spacing w:val="-7"/>
        </w:rPr>
        <w:t> </w:t>
      </w:r>
      <w:r>
        <w:rPr>
          <w:spacing w:val="-2"/>
        </w:rPr>
        <w:t>following:</w:t>
      </w:r>
    </w:p>
    <w:p>
      <w:pPr>
        <w:spacing w:before="79"/>
        <w:ind w:left="360" w:right="0" w:firstLine="0"/>
        <w:jc w:val="left"/>
        <w:rPr>
          <w:b/>
          <w:sz w:val="20"/>
        </w:rPr>
      </w:pPr>
      <w:r>
        <w:rPr>
          <w:b/>
          <w:sz w:val="20"/>
        </w:rPr>
        <w:t>Cyber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Suite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Coverage</w:t>
      </w:r>
    </w:p>
    <w:p>
      <w:pPr>
        <w:pStyle w:val="BodyText"/>
        <w:spacing w:before="162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630" w:val="left" w:leader="none"/>
        </w:tabs>
        <w:spacing w:line="240" w:lineRule="auto" w:before="0" w:after="0"/>
        <w:ind w:left="630" w:right="359" w:hanging="271"/>
        <w:jc w:val="both"/>
        <w:rPr>
          <w:sz w:val="20"/>
        </w:rPr>
      </w:pPr>
      <w:r>
        <w:rPr>
          <w:b/>
          <w:sz w:val="20"/>
        </w:rPr>
        <w:t>E.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ADDITIONAL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CONDITIONS</w:t>
      </w:r>
      <w:r>
        <w:rPr>
          <w:sz w:val="20"/>
        </w:rPr>
        <w:t>,</w:t>
      </w:r>
      <w:r>
        <w:rPr>
          <w:spacing w:val="-5"/>
          <w:sz w:val="20"/>
        </w:rPr>
        <w:t> </w:t>
      </w:r>
      <w:r>
        <w:rPr>
          <w:b/>
          <w:sz w:val="20"/>
        </w:rPr>
        <w:t>6.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Extended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Reporting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Period</w:t>
      </w:r>
      <w:r>
        <w:rPr>
          <w:sz w:val="20"/>
        </w:rPr>
        <w:t>,</w:t>
      </w:r>
      <w:r>
        <w:rPr>
          <w:spacing w:val="-5"/>
          <w:sz w:val="20"/>
        </w:rPr>
        <w:t> </w:t>
      </w:r>
      <w:r>
        <w:rPr>
          <w:sz w:val="20"/>
        </w:rPr>
        <w:t>paragraph</w:t>
      </w:r>
      <w:r>
        <w:rPr>
          <w:spacing w:val="-5"/>
          <w:sz w:val="20"/>
        </w:rPr>
        <w:t> </w:t>
      </w:r>
      <w:r>
        <w:rPr>
          <w:b/>
          <w:sz w:val="20"/>
        </w:rPr>
        <w:t>b.</w:t>
      </w:r>
      <w:r>
        <w:rPr>
          <w:b/>
          <w:spacing w:val="-5"/>
          <w:sz w:val="20"/>
        </w:rPr>
        <w:t> </w:t>
      </w:r>
      <w:r>
        <w:rPr>
          <w:sz w:val="20"/>
        </w:rPr>
        <w:t>is</w:t>
      </w:r>
      <w:r>
        <w:rPr>
          <w:spacing w:val="-4"/>
          <w:sz w:val="20"/>
        </w:rPr>
        <w:t> </w:t>
      </w:r>
      <w:r>
        <w:rPr>
          <w:sz w:val="20"/>
        </w:rPr>
        <w:t>deleted</w:t>
      </w:r>
      <w:r>
        <w:rPr>
          <w:spacing w:val="-5"/>
          <w:sz w:val="20"/>
        </w:rPr>
        <w:t> </w:t>
      </w:r>
      <w:r>
        <w:rPr>
          <w:sz w:val="20"/>
        </w:rPr>
        <w:t>and</w:t>
      </w:r>
      <w:r>
        <w:rPr>
          <w:spacing w:val="-5"/>
          <w:sz w:val="20"/>
        </w:rPr>
        <w:t> </w:t>
      </w:r>
      <w:r>
        <w:rPr>
          <w:sz w:val="20"/>
        </w:rPr>
        <w:t>replaced</w:t>
      </w:r>
      <w:r>
        <w:rPr>
          <w:spacing w:val="-5"/>
          <w:sz w:val="20"/>
        </w:rPr>
        <w:t> </w:t>
      </w:r>
      <w:r>
        <w:rPr>
          <w:sz w:val="20"/>
        </w:rPr>
        <w:t>with</w:t>
      </w:r>
      <w:r>
        <w:rPr>
          <w:spacing w:val="-5"/>
          <w:sz w:val="20"/>
        </w:rPr>
        <w:t> </w:t>
      </w:r>
      <w:r>
        <w:rPr>
          <w:sz w:val="20"/>
        </w:rPr>
        <w:t>the </w:t>
      </w:r>
      <w:r>
        <w:rPr>
          <w:spacing w:val="-2"/>
          <w:sz w:val="20"/>
        </w:rPr>
        <w:t>following:</w:t>
      </w:r>
    </w:p>
    <w:p>
      <w:pPr>
        <w:pStyle w:val="ListParagraph"/>
        <w:numPr>
          <w:ilvl w:val="1"/>
          <w:numId w:val="1"/>
        </w:numPr>
        <w:tabs>
          <w:tab w:pos="1077" w:val="left" w:leader="none"/>
        </w:tabs>
        <w:spacing w:line="240" w:lineRule="auto" w:before="80" w:after="0"/>
        <w:ind w:left="1077" w:right="0" w:hanging="447"/>
        <w:jc w:val="both"/>
        <w:rPr>
          <w:sz w:val="20"/>
        </w:rPr>
      </w:pPr>
      <w:r>
        <w:rPr>
          <w:sz w:val="20"/>
        </w:rPr>
        <w:t>If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“termination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coverage”</w:t>
      </w:r>
      <w:r>
        <w:rPr>
          <w:spacing w:val="-4"/>
          <w:sz w:val="20"/>
        </w:rPr>
        <w:t> </w:t>
      </w:r>
      <w:r>
        <w:rPr>
          <w:sz w:val="20"/>
        </w:rPr>
        <w:t>has</w:t>
      </w:r>
      <w:r>
        <w:rPr>
          <w:spacing w:val="-4"/>
          <w:sz w:val="20"/>
        </w:rPr>
        <w:t> </w:t>
      </w:r>
      <w:r>
        <w:rPr>
          <w:sz w:val="20"/>
        </w:rPr>
        <w:t>occurred,</w:t>
      </w:r>
      <w:r>
        <w:rPr>
          <w:spacing w:val="-5"/>
          <w:sz w:val="20"/>
        </w:rPr>
        <w:t> </w:t>
      </w:r>
      <w:r>
        <w:rPr>
          <w:sz w:val="20"/>
        </w:rPr>
        <w:t>you</w:t>
      </w:r>
      <w:r>
        <w:rPr>
          <w:spacing w:val="-5"/>
          <w:sz w:val="20"/>
        </w:rPr>
        <w:t> </w:t>
      </w:r>
      <w:r>
        <w:rPr>
          <w:sz w:val="20"/>
        </w:rPr>
        <w:t>shall</w:t>
      </w:r>
      <w:r>
        <w:rPr>
          <w:spacing w:val="-5"/>
          <w:sz w:val="20"/>
        </w:rPr>
        <w:t> </w:t>
      </w:r>
      <w:r>
        <w:rPr>
          <w:sz w:val="20"/>
        </w:rPr>
        <w:t>have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sz w:val="20"/>
        </w:rPr>
        <w:t>right</w:t>
      </w:r>
      <w:r>
        <w:rPr>
          <w:spacing w:val="-5"/>
          <w:sz w:val="20"/>
        </w:rPr>
        <w:t> </w:t>
      </w:r>
      <w:r>
        <w:rPr>
          <w:sz w:val="20"/>
        </w:rPr>
        <w:t>to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following:</w:t>
      </w:r>
    </w:p>
    <w:p>
      <w:pPr>
        <w:pStyle w:val="ListParagraph"/>
        <w:numPr>
          <w:ilvl w:val="2"/>
          <w:numId w:val="1"/>
        </w:numPr>
        <w:tabs>
          <w:tab w:pos="1435" w:val="left" w:leader="none"/>
          <w:tab w:pos="1438" w:val="left" w:leader="none"/>
        </w:tabs>
        <w:spacing w:line="240" w:lineRule="auto" w:before="80" w:after="0"/>
        <w:ind w:left="1438" w:right="361" w:hanging="360"/>
        <w:jc w:val="both"/>
        <w:rPr>
          <w:sz w:val="20"/>
        </w:rPr>
      </w:pPr>
      <w:r>
        <w:rPr>
          <w:sz w:val="20"/>
        </w:rPr>
        <w:t>At no additional premium, an Automatic Extended Reporting Period of 60 days immediately following the</w:t>
      </w:r>
      <w:r>
        <w:rPr>
          <w:spacing w:val="-2"/>
          <w:sz w:val="20"/>
        </w:rPr>
        <w:t> </w:t>
      </w:r>
      <w:r>
        <w:rPr>
          <w:sz w:val="20"/>
        </w:rPr>
        <w:t>effective date</w:t>
      </w:r>
      <w:r>
        <w:rPr>
          <w:spacing w:val="-2"/>
          <w:sz w:val="20"/>
        </w:rPr>
        <w:t> </w:t>
      </w:r>
      <w:r>
        <w:rPr>
          <w:sz w:val="20"/>
        </w:rPr>
        <w:t>of “termination</w:t>
      </w:r>
      <w:r>
        <w:rPr>
          <w:spacing w:val="-2"/>
          <w:sz w:val="20"/>
        </w:rPr>
        <w:t> </w:t>
      </w:r>
      <w:r>
        <w:rPr>
          <w:sz w:val="20"/>
        </w:rPr>
        <w:t>of coverage” during</w:t>
      </w:r>
      <w:r>
        <w:rPr>
          <w:spacing w:val="-2"/>
          <w:sz w:val="20"/>
        </w:rPr>
        <w:t> </w:t>
      </w:r>
      <w:r>
        <w:rPr>
          <w:sz w:val="20"/>
        </w:rPr>
        <w:t>which</w:t>
      </w:r>
      <w:r>
        <w:rPr>
          <w:spacing w:val="-2"/>
          <w:sz w:val="20"/>
        </w:rPr>
        <w:t> </w:t>
      </w:r>
      <w:r>
        <w:rPr>
          <w:sz w:val="20"/>
        </w:rPr>
        <w:t>you may first</w:t>
      </w:r>
      <w:r>
        <w:rPr>
          <w:spacing w:val="-2"/>
          <w:sz w:val="20"/>
        </w:rPr>
        <w:t> </w:t>
      </w:r>
      <w:r>
        <w:rPr>
          <w:sz w:val="20"/>
        </w:rPr>
        <w:t>receive notice of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“claim”</w:t>
      </w:r>
      <w:r>
        <w:rPr>
          <w:spacing w:val="-1"/>
          <w:sz w:val="20"/>
        </w:rPr>
        <w:t> </w:t>
      </w:r>
      <w:r>
        <w:rPr>
          <w:sz w:val="20"/>
        </w:rPr>
        <w:t>or “regulatory</w:t>
      </w:r>
      <w:r>
        <w:rPr>
          <w:spacing w:val="-7"/>
          <w:sz w:val="20"/>
        </w:rPr>
        <w:t> </w:t>
      </w:r>
      <w:r>
        <w:rPr>
          <w:sz w:val="20"/>
        </w:rPr>
        <w:t>proceeding”</w:t>
      </w:r>
      <w:r>
        <w:rPr>
          <w:spacing w:val="-8"/>
          <w:sz w:val="20"/>
        </w:rPr>
        <w:t> </w:t>
      </w:r>
      <w:r>
        <w:rPr>
          <w:sz w:val="20"/>
        </w:rPr>
        <w:t>arising</w:t>
      </w:r>
      <w:r>
        <w:rPr>
          <w:spacing w:val="-9"/>
          <w:sz w:val="20"/>
        </w:rPr>
        <w:t> </w:t>
      </w:r>
      <w:r>
        <w:rPr>
          <w:sz w:val="20"/>
        </w:rPr>
        <w:t>from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“wrongful</w:t>
      </w:r>
      <w:r>
        <w:rPr>
          <w:spacing w:val="-10"/>
          <w:sz w:val="20"/>
        </w:rPr>
        <w:t> </w:t>
      </w:r>
      <w:r>
        <w:rPr>
          <w:sz w:val="20"/>
        </w:rPr>
        <w:t>act”</w:t>
      </w:r>
      <w:r>
        <w:rPr>
          <w:spacing w:val="-7"/>
          <w:sz w:val="20"/>
        </w:rPr>
        <w:t> </w:t>
      </w:r>
      <w:r>
        <w:rPr>
          <w:sz w:val="20"/>
        </w:rPr>
        <w:t>occurring</w:t>
      </w:r>
      <w:r>
        <w:rPr>
          <w:spacing w:val="-9"/>
          <w:sz w:val="20"/>
        </w:rPr>
        <w:t> </w:t>
      </w:r>
      <w:r>
        <w:rPr>
          <w:sz w:val="20"/>
        </w:rPr>
        <w:t>before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z w:val="20"/>
        </w:rPr>
        <w:t>end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z w:val="20"/>
        </w:rPr>
        <w:t>“policy</w:t>
      </w:r>
      <w:r>
        <w:rPr>
          <w:spacing w:val="-7"/>
          <w:sz w:val="20"/>
        </w:rPr>
        <w:t> </w:t>
      </w:r>
      <w:r>
        <w:rPr>
          <w:sz w:val="20"/>
        </w:rPr>
        <w:t>period”</w:t>
      </w:r>
      <w:r>
        <w:rPr>
          <w:spacing w:val="-7"/>
          <w:sz w:val="20"/>
        </w:rPr>
        <w:t> </w:t>
      </w:r>
      <w:r>
        <w:rPr>
          <w:sz w:val="20"/>
        </w:rPr>
        <w:t>and which is otherwise insured by this Cyber Coverage; and</w:t>
      </w:r>
    </w:p>
    <w:p>
      <w:pPr>
        <w:pStyle w:val="ListParagraph"/>
        <w:numPr>
          <w:ilvl w:val="2"/>
          <w:numId w:val="1"/>
        </w:numPr>
        <w:tabs>
          <w:tab w:pos="1435" w:val="left" w:leader="none"/>
          <w:tab w:pos="1438" w:val="left" w:leader="none"/>
        </w:tabs>
        <w:spacing w:line="240" w:lineRule="auto" w:before="81" w:after="0"/>
        <w:ind w:left="1438" w:right="359" w:hanging="360"/>
        <w:jc w:val="both"/>
        <w:rPr>
          <w:sz w:val="20"/>
        </w:rPr>
      </w:pPr>
      <w:r>
        <w:rPr>
          <w:sz w:val="20"/>
        </w:rPr>
        <w:t>Upon</w:t>
      </w:r>
      <w:r>
        <w:rPr>
          <w:spacing w:val="-14"/>
          <w:sz w:val="20"/>
        </w:rPr>
        <w:t> </w:t>
      </w:r>
      <w:r>
        <w:rPr>
          <w:sz w:val="20"/>
        </w:rPr>
        <w:t>payment</w:t>
      </w:r>
      <w:r>
        <w:rPr>
          <w:spacing w:val="-14"/>
          <w:sz w:val="20"/>
        </w:rPr>
        <w:t> </w:t>
      </w:r>
      <w:r>
        <w:rPr>
          <w:sz w:val="20"/>
        </w:rPr>
        <w:t>of</w:t>
      </w:r>
      <w:r>
        <w:rPr>
          <w:spacing w:val="-14"/>
          <w:sz w:val="20"/>
        </w:rPr>
        <w:t> </w:t>
      </w:r>
      <w:r>
        <w:rPr>
          <w:sz w:val="20"/>
        </w:rPr>
        <w:t>an</w:t>
      </w:r>
      <w:r>
        <w:rPr>
          <w:spacing w:val="-14"/>
          <w:sz w:val="20"/>
        </w:rPr>
        <w:t> </w:t>
      </w:r>
      <w:r>
        <w:rPr>
          <w:sz w:val="20"/>
        </w:rPr>
        <w:t>additional</w:t>
      </w:r>
      <w:r>
        <w:rPr>
          <w:spacing w:val="-14"/>
          <w:sz w:val="20"/>
        </w:rPr>
        <w:t> </w:t>
      </w:r>
      <w:r>
        <w:rPr>
          <w:sz w:val="20"/>
        </w:rPr>
        <w:t>premium</w:t>
      </w:r>
      <w:r>
        <w:rPr>
          <w:spacing w:val="-14"/>
          <w:sz w:val="20"/>
        </w:rPr>
        <w:t> </w:t>
      </w:r>
      <w:r>
        <w:rPr>
          <w:sz w:val="20"/>
        </w:rPr>
        <w:t>of</w:t>
      </w:r>
      <w:r>
        <w:rPr>
          <w:spacing w:val="-14"/>
          <w:sz w:val="20"/>
        </w:rPr>
        <w:t> </w:t>
      </w:r>
      <w:r>
        <w:rPr>
          <w:sz w:val="20"/>
        </w:rPr>
        <w:t>100%</w:t>
      </w:r>
      <w:r>
        <w:rPr>
          <w:spacing w:val="-14"/>
          <w:sz w:val="20"/>
        </w:rPr>
        <w:t> </w:t>
      </w:r>
      <w:r>
        <w:rPr>
          <w:sz w:val="20"/>
        </w:rPr>
        <w:t>of</w:t>
      </w:r>
      <w:r>
        <w:rPr>
          <w:spacing w:val="-14"/>
          <w:sz w:val="20"/>
        </w:rPr>
        <w:t> </w:t>
      </w:r>
      <w:r>
        <w:rPr>
          <w:sz w:val="20"/>
        </w:rPr>
        <w:t>the</w:t>
      </w:r>
      <w:r>
        <w:rPr>
          <w:spacing w:val="-13"/>
          <w:sz w:val="20"/>
        </w:rPr>
        <w:t> </w:t>
      </w:r>
      <w:r>
        <w:rPr>
          <w:sz w:val="20"/>
        </w:rPr>
        <w:t>full</w:t>
      </w:r>
      <w:r>
        <w:rPr>
          <w:spacing w:val="-14"/>
          <w:sz w:val="20"/>
        </w:rPr>
        <w:t> </w:t>
      </w:r>
      <w:r>
        <w:rPr>
          <w:sz w:val="20"/>
        </w:rPr>
        <w:t>annual</w:t>
      </w:r>
      <w:r>
        <w:rPr>
          <w:spacing w:val="-14"/>
          <w:sz w:val="20"/>
        </w:rPr>
        <w:t> </w:t>
      </w:r>
      <w:r>
        <w:rPr>
          <w:sz w:val="20"/>
        </w:rPr>
        <w:t>premium</w:t>
      </w:r>
      <w:r>
        <w:rPr>
          <w:spacing w:val="-14"/>
          <w:sz w:val="20"/>
        </w:rPr>
        <w:t> </w:t>
      </w:r>
      <w:r>
        <w:rPr>
          <w:sz w:val="20"/>
        </w:rPr>
        <w:t>associated</w:t>
      </w:r>
      <w:r>
        <w:rPr>
          <w:spacing w:val="-14"/>
          <w:sz w:val="20"/>
        </w:rPr>
        <w:t> </w:t>
      </w:r>
      <w:r>
        <w:rPr>
          <w:sz w:val="20"/>
        </w:rPr>
        <w:t>with</w:t>
      </w:r>
      <w:r>
        <w:rPr>
          <w:spacing w:val="-14"/>
          <w:sz w:val="20"/>
        </w:rPr>
        <w:t> </w:t>
      </w:r>
      <w:r>
        <w:rPr>
          <w:sz w:val="20"/>
        </w:rPr>
        <w:t>the</w:t>
      </w:r>
      <w:r>
        <w:rPr>
          <w:spacing w:val="-14"/>
          <w:sz w:val="20"/>
        </w:rPr>
        <w:t> </w:t>
      </w:r>
      <w:r>
        <w:rPr>
          <w:sz w:val="20"/>
        </w:rPr>
        <w:t>relevant coverage,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Supplemental</w:t>
      </w:r>
      <w:r>
        <w:rPr>
          <w:spacing w:val="-8"/>
          <w:sz w:val="20"/>
        </w:rPr>
        <w:t> </w:t>
      </w:r>
      <w:r>
        <w:rPr>
          <w:sz w:val="20"/>
        </w:rPr>
        <w:t>Extended</w:t>
      </w:r>
      <w:r>
        <w:rPr>
          <w:spacing w:val="-8"/>
          <w:sz w:val="20"/>
        </w:rPr>
        <w:t> </w:t>
      </w:r>
      <w:r>
        <w:rPr>
          <w:sz w:val="20"/>
        </w:rPr>
        <w:t>Reporting</w:t>
      </w:r>
      <w:r>
        <w:rPr>
          <w:spacing w:val="-8"/>
          <w:sz w:val="20"/>
        </w:rPr>
        <w:t> </w:t>
      </w:r>
      <w:r>
        <w:rPr>
          <w:sz w:val="20"/>
        </w:rPr>
        <w:t>Period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9"/>
          <w:sz w:val="20"/>
        </w:rPr>
        <w:t> </w:t>
      </w:r>
      <w:r>
        <w:rPr>
          <w:sz w:val="20"/>
        </w:rPr>
        <w:t>one</w:t>
      </w:r>
      <w:r>
        <w:rPr>
          <w:spacing w:val="-9"/>
          <w:sz w:val="20"/>
        </w:rPr>
        <w:t> </w:t>
      </w:r>
      <w:r>
        <w:rPr>
          <w:sz w:val="20"/>
        </w:rPr>
        <w:t>year</w:t>
      </w:r>
      <w:r>
        <w:rPr>
          <w:spacing w:val="-9"/>
          <w:sz w:val="20"/>
        </w:rPr>
        <w:t> </w:t>
      </w:r>
      <w:r>
        <w:rPr>
          <w:sz w:val="20"/>
        </w:rPr>
        <w:t>immediately</w:t>
      </w:r>
      <w:r>
        <w:rPr>
          <w:spacing w:val="-8"/>
          <w:sz w:val="20"/>
        </w:rPr>
        <w:t> </w:t>
      </w:r>
      <w:r>
        <w:rPr>
          <w:sz w:val="20"/>
        </w:rPr>
        <w:t>following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z w:val="20"/>
        </w:rPr>
        <w:t>expiration of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2"/>
          <w:sz w:val="20"/>
        </w:rPr>
        <w:t> </w:t>
      </w:r>
      <w:r>
        <w:rPr>
          <w:sz w:val="20"/>
        </w:rPr>
        <w:t>Automatic Extended</w:t>
      </w:r>
      <w:r>
        <w:rPr>
          <w:spacing w:val="-2"/>
          <w:sz w:val="20"/>
        </w:rPr>
        <w:t> </w:t>
      </w:r>
      <w:r>
        <w:rPr>
          <w:sz w:val="20"/>
        </w:rPr>
        <w:t>Reporting</w:t>
      </w:r>
      <w:r>
        <w:rPr>
          <w:spacing w:val="-2"/>
          <w:sz w:val="20"/>
        </w:rPr>
        <w:t> </w:t>
      </w:r>
      <w:r>
        <w:rPr>
          <w:sz w:val="20"/>
        </w:rPr>
        <w:t>Period</w:t>
      </w:r>
      <w:r>
        <w:rPr>
          <w:spacing w:val="-2"/>
          <w:sz w:val="20"/>
        </w:rPr>
        <w:t> </w:t>
      </w:r>
      <w:r>
        <w:rPr>
          <w:sz w:val="20"/>
        </w:rPr>
        <w:t>during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4"/>
          <w:sz w:val="20"/>
        </w:rPr>
        <w:t> </w:t>
      </w:r>
      <w:r>
        <w:rPr>
          <w:sz w:val="20"/>
        </w:rPr>
        <w:t>you</w:t>
      </w:r>
      <w:r>
        <w:rPr>
          <w:spacing w:val="-4"/>
          <w:sz w:val="20"/>
        </w:rPr>
        <w:t> </w:t>
      </w:r>
      <w:r>
        <w:rPr>
          <w:sz w:val="20"/>
        </w:rPr>
        <w:t>may</w:t>
      </w:r>
      <w:r>
        <w:rPr>
          <w:spacing w:val="-3"/>
          <w:sz w:val="20"/>
        </w:rPr>
        <w:t> </w:t>
      </w:r>
      <w:r>
        <w:rPr>
          <w:sz w:val="20"/>
        </w:rPr>
        <w:t>first</w:t>
      </w:r>
      <w:r>
        <w:rPr>
          <w:spacing w:val="-4"/>
          <w:sz w:val="20"/>
        </w:rPr>
        <w:t> </w:t>
      </w:r>
      <w:r>
        <w:rPr>
          <w:sz w:val="20"/>
        </w:rPr>
        <w:t>receive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notice</w:t>
      </w:r>
      <w:r>
        <w:rPr>
          <w:spacing w:val="-2"/>
          <w:sz w:val="20"/>
        </w:rPr>
        <w:t> </w:t>
      </w:r>
      <w:r>
        <w:rPr>
          <w:sz w:val="20"/>
        </w:rPr>
        <w:t>of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“claim”</w:t>
      </w:r>
      <w:r>
        <w:rPr>
          <w:spacing w:val="-3"/>
          <w:sz w:val="20"/>
        </w:rPr>
        <w:t> </w:t>
      </w:r>
      <w:r>
        <w:rPr>
          <w:sz w:val="20"/>
        </w:rPr>
        <w:t>or “regulatory proceeding” arising directly from a “wrongful act” occurring before the end of the “policy period” and which is otherwise insured by this Cyber Coverage.</w:t>
      </w:r>
    </w:p>
    <w:p>
      <w:pPr>
        <w:pStyle w:val="BodyText"/>
        <w:spacing w:before="79"/>
        <w:ind w:left="1438" w:right="358"/>
        <w:jc w:val="both"/>
      </w:pPr>
      <w:r>
        <w:rPr/>
        <w:t>To obtain the Supplemental Extended Reporting Period, you must request it in writing and pay the additional</w:t>
      </w:r>
      <w:r>
        <w:rPr>
          <w:spacing w:val="-12"/>
        </w:rPr>
        <w:t> </w:t>
      </w:r>
      <w:r>
        <w:rPr/>
        <w:t>premium</w:t>
      </w:r>
      <w:r>
        <w:rPr>
          <w:spacing w:val="-11"/>
        </w:rPr>
        <w:t> </w:t>
      </w:r>
      <w:r>
        <w:rPr/>
        <w:t>due,</w:t>
      </w:r>
      <w:r>
        <w:rPr>
          <w:spacing w:val="-11"/>
        </w:rPr>
        <w:t> </w:t>
      </w:r>
      <w:r>
        <w:rPr/>
        <w:t>within</w:t>
      </w:r>
      <w:r>
        <w:rPr>
          <w:spacing w:val="-11"/>
        </w:rPr>
        <w:t> </w:t>
      </w:r>
      <w:r>
        <w:rPr/>
        <w:t>30</w:t>
      </w:r>
      <w:r>
        <w:rPr>
          <w:spacing w:val="-14"/>
        </w:rPr>
        <w:t> </w:t>
      </w:r>
      <w:r>
        <w:rPr/>
        <w:t>days</w:t>
      </w:r>
      <w:r>
        <w:rPr>
          <w:spacing w:val="-12"/>
        </w:rPr>
        <w:t> </w:t>
      </w:r>
      <w:r>
        <w:rPr/>
        <w:t>of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effective</w:t>
      </w:r>
      <w:r>
        <w:rPr>
          <w:spacing w:val="-11"/>
        </w:rPr>
        <w:t> </w:t>
      </w:r>
      <w:r>
        <w:rPr/>
        <w:t>date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“termination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coverage”.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additional premium for the Supplemental Extended Reporting Period will be fully earned at the inception of the Supplemental</w:t>
      </w:r>
      <w:r>
        <w:rPr>
          <w:spacing w:val="-13"/>
        </w:rPr>
        <w:t> </w:t>
      </w:r>
      <w:r>
        <w:rPr/>
        <w:t>Extended</w:t>
      </w:r>
      <w:r>
        <w:rPr>
          <w:spacing w:val="-13"/>
        </w:rPr>
        <w:t> </w:t>
      </w:r>
      <w:r>
        <w:rPr/>
        <w:t>Reporting</w:t>
      </w:r>
      <w:r>
        <w:rPr>
          <w:spacing w:val="-13"/>
        </w:rPr>
        <w:t> </w:t>
      </w:r>
      <w:r>
        <w:rPr/>
        <w:t>Period.</w:t>
      </w:r>
      <w:r>
        <w:rPr>
          <w:spacing w:val="-13"/>
        </w:rPr>
        <w:t> </w:t>
      </w:r>
      <w:r>
        <w:rPr/>
        <w:t>If</w:t>
      </w:r>
      <w:r>
        <w:rPr>
          <w:spacing w:val="-13"/>
        </w:rPr>
        <w:t> </w:t>
      </w:r>
      <w:r>
        <w:rPr/>
        <w:t>we</w:t>
      </w:r>
      <w:r>
        <w:rPr>
          <w:spacing w:val="-13"/>
        </w:rPr>
        <w:t> </w:t>
      </w:r>
      <w:r>
        <w:rPr/>
        <w:t>do</w:t>
      </w:r>
      <w:r>
        <w:rPr>
          <w:spacing w:val="-11"/>
        </w:rPr>
        <w:t> </w:t>
      </w:r>
      <w:r>
        <w:rPr/>
        <w:t>not</w:t>
      </w:r>
      <w:r>
        <w:rPr>
          <w:spacing w:val="-13"/>
        </w:rPr>
        <w:t> </w:t>
      </w:r>
      <w:r>
        <w:rPr/>
        <w:t>receive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written</w:t>
      </w:r>
      <w:r>
        <w:rPr>
          <w:spacing w:val="-13"/>
        </w:rPr>
        <w:t> </w:t>
      </w:r>
      <w:r>
        <w:rPr/>
        <w:t>request</w:t>
      </w:r>
      <w:r>
        <w:rPr>
          <w:spacing w:val="-11"/>
        </w:rPr>
        <w:t> </w:t>
      </w:r>
      <w:r>
        <w:rPr/>
        <w:t>as</w:t>
      </w:r>
      <w:r>
        <w:rPr>
          <w:spacing w:val="-11"/>
        </w:rPr>
        <w:t> </w:t>
      </w:r>
      <w:r>
        <w:rPr/>
        <w:t>required,</w:t>
      </w:r>
      <w:r>
        <w:rPr>
          <w:spacing w:val="-13"/>
        </w:rPr>
        <w:t> </w:t>
      </w:r>
      <w:r>
        <w:rPr/>
        <w:t>you</w:t>
      </w:r>
      <w:r>
        <w:rPr>
          <w:spacing w:val="-13"/>
        </w:rPr>
        <w:t> </w:t>
      </w:r>
      <w:r>
        <w:rPr/>
        <w:t>may not exercise this right at a later date.</w:t>
      </w:r>
    </w:p>
    <w:p>
      <w:pPr>
        <w:pStyle w:val="BodyText"/>
        <w:spacing w:before="79"/>
        <w:ind w:left="1798" w:right="358"/>
        <w:jc w:val="both"/>
      </w:pPr>
      <w:r>
        <w:rPr/>
        <w:t>This</w:t>
      </w:r>
      <w:r>
        <w:rPr>
          <w:spacing w:val="-1"/>
        </w:rPr>
        <w:t> </w:t>
      </w:r>
      <w:r>
        <w:rPr/>
        <w:t>insurance,</w:t>
      </w:r>
      <w:r>
        <w:rPr>
          <w:spacing w:val="-3"/>
        </w:rPr>
        <w:t> </w:t>
      </w:r>
      <w:r>
        <w:rPr/>
        <w:t>provided</w:t>
      </w:r>
      <w:r>
        <w:rPr>
          <w:spacing w:val="-3"/>
        </w:rPr>
        <w:t> </w:t>
      </w:r>
      <w:r>
        <w:rPr/>
        <w:t>during</w:t>
      </w:r>
      <w:r>
        <w:rPr>
          <w:spacing w:val="-3"/>
        </w:rPr>
        <w:t> </w:t>
      </w:r>
      <w:r>
        <w:rPr/>
        <w:t>the Supplemental</w:t>
      </w:r>
      <w:r>
        <w:rPr>
          <w:spacing w:val="-4"/>
        </w:rPr>
        <w:t> </w:t>
      </w:r>
      <w:r>
        <w:rPr/>
        <w:t>Extended</w:t>
      </w:r>
      <w:r>
        <w:rPr>
          <w:spacing w:val="-3"/>
        </w:rPr>
        <w:t> </w:t>
      </w:r>
      <w:r>
        <w:rPr/>
        <w:t>Reporting Period, is</w:t>
      </w:r>
      <w:r>
        <w:rPr>
          <w:spacing w:val="-1"/>
        </w:rPr>
        <w:t> </w:t>
      </w:r>
      <w:r>
        <w:rPr/>
        <w:t>excess</w:t>
      </w:r>
      <w:r>
        <w:rPr>
          <w:spacing w:val="-1"/>
        </w:rPr>
        <w:t> </w:t>
      </w:r>
      <w:r>
        <w:rPr/>
        <w:t>over</w:t>
      </w:r>
      <w:r>
        <w:rPr>
          <w:spacing w:val="-2"/>
        </w:rPr>
        <w:t> </w:t>
      </w:r>
      <w:r>
        <w:rPr/>
        <w:t>any other valid and collectible insurance that begins or continues in effect after the Supplemental Ex- tended Reporting Period becomes effective, whether the other insurance applies on a primary, excess, contingent, or any other basis.</w:t>
      </w:r>
    </w:p>
    <w:p>
      <w:pPr>
        <w:pStyle w:val="BodyText"/>
        <w:spacing w:before="160"/>
      </w:pPr>
    </w:p>
    <w:p>
      <w:pPr>
        <w:pStyle w:val="ListParagraph"/>
        <w:numPr>
          <w:ilvl w:val="0"/>
          <w:numId w:val="1"/>
        </w:numPr>
        <w:tabs>
          <w:tab w:pos="657" w:val="left" w:leader="none"/>
        </w:tabs>
        <w:spacing w:line="240" w:lineRule="auto" w:before="1" w:after="0"/>
        <w:ind w:left="657" w:right="0" w:hanging="299"/>
        <w:jc w:val="left"/>
        <w:rPr>
          <w:sz w:val="20"/>
        </w:rPr>
      </w:pPr>
      <w:r>
        <w:rPr>
          <w:b/>
          <w:sz w:val="20"/>
        </w:rPr>
        <w:t>F.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DEFINITIONS</w:t>
      </w:r>
      <w:r>
        <w:rPr>
          <w:sz w:val="20"/>
        </w:rPr>
        <w:t>,</w:t>
      </w:r>
      <w:r>
        <w:rPr>
          <w:spacing w:val="-5"/>
          <w:sz w:val="20"/>
        </w:rPr>
        <w:t> </w:t>
      </w:r>
      <w:r>
        <w:rPr>
          <w:b/>
          <w:sz w:val="20"/>
        </w:rPr>
        <w:t>47.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Settlement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Costs</w:t>
      </w:r>
      <w:r>
        <w:rPr>
          <w:sz w:val="20"/>
        </w:rPr>
        <w:t>,</w:t>
      </w:r>
      <w:r>
        <w:rPr>
          <w:spacing w:val="-6"/>
          <w:sz w:val="20"/>
        </w:rPr>
        <w:t> </w:t>
      </w:r>
      <w:r>
        <w:rPr>
          <w:sz w:val="20"/>
        </w:rPr>
        <w:t>paragraph</w:t>
      </w:r>
      <w:r>
        <w:rPr>
          <w:spacing w:val="-5"/>
          <w:sz w:val="20"/>
        </w:rPr>
        <w:t> </w:t>
      </w:r>
      <w:r>
        <w:rPr>
          <w:b/>
          <w:sz w:val="20"/>
        </w:rPr>
        <w:t>c.</w:t>
      </w:r>
      <w:r>
        <w:rPr>
          <w:b/>
          <w:spacing w:val="-6"/>
          <w:sz w:val="20"/>
        </w:rPr>
        <w:t> </w:t>
      </w:r>
      <w:r>
        <w:rPr>
          <w:sz w:val="20"/>
        </w:rPr>
        <w:t>is</w:t>
      </w:r>
      <w:r>
        <w:rPr>
          <w:spacing w:val="-6"/>
          <w:sz w:val="20"/>
        </w:rPr>
        <w:t> </w:t>
      </w:r>
      <w:r>
        <w:rPr>
          <w:sz w:val="20"/>
        </w:rPr>
        <w:t>deleted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8"/>
          <w:sz w:val="20"/>
        </w:rPr>
        <w:t> </w:t>
      </w:r>
      <w:r>
        <w:rPr>
          <w:sz w:val="20"/>
        </w:rPr>
        <w:t>replaced</w:t>
      </w:r>
      <w:r>
        <w:rPr>
          <w:spacing w:val="-7"/>
          <w:sz w:val="20"/>
        </w:rPr>
        <w:t> </w:t>
      </w:r>
      <w:r>
        <w:rPr>
          <w:sz w:val="20"/>
        </w:rPr>
        <w:t>with</w:t>
      </w:r>
      <w:r>
        <w:rPr>
          <w:spacing w:val="-7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following:</w:t>
      </w:r>
    </w:p>
    <w:p>
      <w:pPr>
        <w:pStyle w:val="ListParagraph"/>
        <w:numPr>
          <w:ilvl w:val="0"/>
          <w:numId w:val="2"/>
        </w:numPr>
        <w:tabs>
          <w:tab w:pos="1049" w:val="left" w:leader="none"/>
        </w:tabs>
        <w:spacing w:line="240" w:lineRule="auto" w:before="0" w:after="0"/>
        <w:ind w:left="1049" w:right="360" w:hanging="420"/>
        <w:jc w:val="left"/>
        <w:rPr>
          <w:sz w:val="20"/>
        </w:rPr>
      </w:pPr>
      <w:r>
        <w:rPr>
          <w:sz w:val="20"/>
        </w:rPr>
        <w:t>With respect to fines and penalties assessed against the insured to the extent such fines or penalties are insurable by law:</w:t>
      </w:r>
    </w:p>
    <w:p>
      <w:pPr>
        <w:pStyle w:val="ListParagraph"/>
        <w:numPr>
          <w:ilvl w:val="1"/>
          <w:numId w:val="2"/>
        </w:numPr>
        <w:tabs>
          <w:tab w:pos="1376" w:val="left" w:leader="none"/>
        </w:tabs>
        <w:spacing w:line="240" w:lineRule="auto" w:before="1" w:after="0"/>
        <w:ind w:left="1376" w:right="0" w:hanging="298"/>
        <w:jc w:val="left"/>
        <w:rPr>
          <w:sz w:val="20"/>
        </w:rPr>
      </w:pPr>
      <w:r>
        <w:rPr>
          <w:sz w:val="20"/>
        </w:rPr>
        <w:t>Is</w:t>
      </w:r>
      <w:r>
        <w:rPr>
          <w:spacing w:val="-6"/>
          <w:sz w:val="20"/>
        </w:rPr>
        <w:t> </w:t>
      </w:r>
      <w:r>
        <w:rPr>
          <w:sz w:val="20"/>
        </w:rPr>
        <w:t>where</w:t>
      </w:r>
      <w:r>
        <w:rPr>
          <w:spacing w:val="-6"/>
          <w:sz w:val="20"/>
        </w:rPr>
        <w:t> </w:t>
      </w:r>
      <w:r>
        <w:rPr>
          <w:sz w:val="20"/>
        </w:rPr>
        <w:t>those</w:t>
      </w:r>
      <w:r>
        <w:rPr>
          <w:spacing w:val="-6"/>
          <w:sz w:val="20"/>
        </w:rPr>
        <w:t> </w:t>
      </w:r>
      <w:r>
        <w:rPr>
          <w:sz w:val="20"/>
        </w:rPr>
        <w:t>fines</w:t>
      </w:r>
      <w:r>
        <w:rPr>
          <w:spacing w:val="-6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penalties</w:t>
      </w:r>
      <w:r>
        <w:rPr>
          <w:spacing w:val="-6"/>
          <w:sz w:val="20"/>
        </w:rPr>
        <w:t> </w:t>
      </w:r>
      <w:r>
        <w:rPr>
          <w:sz w:val="20"/>
        </w:rPr>
        <w:t>were</w:t>
      </w:r>
      <w:r>
        <w:rPr>
          <w:spacing w:val="-4"/>
          <w:sz w:val="20"/>
        </w:rPr>
        <w:t> </w:t>
      </w:r>
      <w:r>
        <w:rPr>
          <w:sz w:val="20"/>
        </w:rPr>
        <w:t>awarded</w:t>
      </w:r>
      <w:r>
        <w:rPr>
          <w:spacing w:val="-5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imposed;</w:t>
      </w:r>
    </w:p>
    <w:p>
      <w:pPr>
        <w:pStyle w:val="ListParagraph"/>
        <w:numPr>
          <w:ilvl w:val="1"/>
          <w:numId w:val="2"/>
        </w:numPr>
        <w:tabs>
          <w:tab w:pos="1376" w:val="left" w:leader="none"/>
        </w:tabs>
        <w:spacing w:line="240" w:lineRule="auto" w:before="1" w:after="0"/>
        <w:ind w:left="1376" w:right="0" w:hanging="298"/>
        <w:jc w:val="left"/>
        <w:rPr>
          <w:sz w:val="20"/>
        </w:rPr>
      </w:pPr>
      <w:r>
        <w:rPr>
          <w:sz w:val="20"/>
        </w:rPr>
        <w:t>Is</w:t>
      </w:r>
      <w:r>
        <w:rPr>
          <w:spacing w:val="-5"/>
          <w:sz w:val="20"/>
        </w:rPr>
        <w:t> </w:t>
      </w:r>
      <w:r>
        <w:rPr>
          <w:sz w:val="20"/>
        </w:rPr>
        <w:t>where</w:t>
      </w:r>
      <w:r>
        <w:rPr>
          <w:spacing w:val="-6"/>
          <w:sz w:val="20"/>
        </w:rPr>
        <w:t> </w:t>
      </w:r>
      <w:r>
        <w:rPr>
          <w:sz w:val="20"/>
        </w:rPr>
        <w:t>any</w:t>
      </w:r>
      <w:r>
        <w:rPr>
          <w:spacing w:val="-5"/>
          <w:sz w:val="20"/>
        </w:rPr>
        <w:t> </w:t>
      </w:r>
      <w:r>
        <w:rPr>
          <w:sz w:val="20"/>
        </w:rPr>
        <w:t>“wrongful</w:t>
      </w:r>
      <w:r>
        <w:rPr>
          <w:spacing w:val="-2"/>
          <w:sz w:val="20"/>
        </w:rPr>
        <w:t> </w:t>
      </w:r>
      <w:r>
        <w:rPr>
          <w:sz w:val="20"/>
        </w:rPr>
        <w:t>act”</w:t>
      </w:r>
      <w:r>
        <w:rPr>
          <w:spacing w:val="-5"/>
          <w:sz w:val="20"/>
        </w:rPr>
        <w:t> </w:t>
      </w:r>
      <w:r>
        <w:rPr>
          <w:sz w:val="20"/>
        </w:rPr>
        <w:t>took</w:t>
      </w:r>
      <w:r>
        <w:rPr>
          <w:spacing w:val="-5"/>
          <w:sz w:val="20"/>
        </w:rPr>
        <w:t> </w:t>
      </w:r>
      <w:r>
        <w:rPr>
          <w:sz w:val="20"/>
        </w:rPr>
        <w:t>place</w:t>
      </w:r>
      <w:r>
        <w:rPr>
          <w:spacing w:val="-6"/>
          <w:sz w:val="20"/>
        </w:rPr>
        <w:t> </w:t>
      </w:r>
      <w:r>
        <w:rPr>
          <w:sz w:val="20"/>
        </w:rPr>
        <w:t>for</w:t>
      </w:r>
      <w:r>
        <w:rPr>
          <w:spacing w:val="-5"/>
          <w:sz w:val="20"/>
        </w:rPr>
        <w:t> </w:t>
      </w:r>
      <w:r>
        <w:rPr>
          <w:sz w:val="20"/>
        </w:rPr>
        <w:t>which</w:t>
      </w:r>
      <w:r>
        <w:rPr>
          <w:spacing w:val="-6"/>
          <w:sz w:val="20"/>
        </w:rPr>
        <w:t> </w:t>
      </w:r>
      <w:r>
        <w:rPr>
          <w:sz w:val="20"/>
        </w:rPr>
        <w:t>such</w:t>
      </w:r>
      <w:r>
        <w:rPr>
          <w:spacing w:val="-6"/>
          <w:sz w:val="20"/>
        </w:rPr>
        <w:t> </w:t>
      </w:r>
      <w:r>
        <w:rPr>
          <w:sz w:val="20"/>
        </w:rPr>
        <w:t>fines</w:t>
      </w:r>
      <w:r>
        <w:rPr>
          <w:spacing w:val="-5"/>
          <w:sz w:val="20"/>
        </w:rPr>
        <w:t> </w:t>
      </w:r>
      <w:r>
        <w:rPr>
          <w:sz w:val="20"/>
        </w:rPr>
        <w:t>or</w:t>
      </w:r>
      <w:r>
        <w:rPr>
          <w:spacing w:val="-4"/>
          <w:sz w:val="20"/>
        </w:rPr>
        <w:t> </w:t>
      </w:r>
      <w:r>
        <w:rPr>
          <w:sz w:val="20"/>
        </w:rPr>
        <w:t>penalties</w:t>
      </w:r>
      <w:r>
        <w:rPr>
          <w:spacing w:val="-5"/>
          <w:sz w:val="20"/>
        </w:rPr>
        <w:t> </w:t>
      </w:r>
      <w:r>
        <w:rPr>
          <w:sz w:val="20"/>
        </w:rPr>
        <w:t>were</w:t>
      </w:r>
      <w:r>
        <w:rPr>
          <w:spacing w:val="-4"/>
          <w:sz w:val="20"/>
        </w:rPr>
        <w:t> </w:t>
      </w:r>
      <w:r>
        <w:rPr>
          <w:sz w:val="20"/>
        </w:rPr>
        <w:t>awarded</w:t>
      </w:r>
      <w:r>
        <w:rPr>
          <w:spacing w:val="-4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imposed;</w:t>
      </w:r>
    </w:p>
    <w:p>
      <w:pPr>
        <w:pStyle w:val="ListParagraph"/>
        <w:numPr>
          <w:ilvl w:val="1"/>
          <w:numId w:val="2"/>
        </w:numPr>
        <w:tabs>
          <w:tab w:pos="1376" w:val="left" w:leader="none"/>
        </w:tabs>
        <w:spacing w:line="240" w:lineRule="auto" w:before="0" w:after="0"/>
        <w:ind w:left="1376" w:right="0" w:hanging="298"/>
        <w:jc w:val="left"/>
        <w:rPr>
          <w:sz w:val="20"/>
        </w:rPr>
      </w:pPr>
      <w:r>
        <w:rPr>
          <w:sz w:val="20"/>
        </w:rPr>
        <w:t>Is</w:t>
      </w:r>
      <w:r>
        <w:rPr>
          <w:spacing w:val="-6"/>
          <w:sz w:val="20"/>
        </w:rPr>
        <w:t> </w:t>
      </w:r>
      <w:r>
        <w:rPr>
          <w:sz w:val="20"/>
        </w:rPr>
        <w:t>where</w:t>
      </w:r>
      <w:r>
        <w:rPr>
          <w:spacing w:val="-6"/>
          <w:sz w:val="20"/>
        </w:rPr>
        <w:t> </w:t>
      </w:r>
      <w:r>
        <w:rPr>
          <w:sz w:val="20"/>
        </w:rPr>
        <w:t>you</w:t>
      </w:r>
      <w:r>
        <w:rPr>
          <w:spacing w:val="-5"/>
          <w:sz w:val="20"/>
        </w:rPr>
        <w:t> </w:t>
      </w:r>
      <w:r>
        <w:rPr>
          <w:sz w:val="20"/>
        </w:rPr>
        <w:t>are</w:t>
      </w:r>
      <w:r>
        <w:rPr>
          <w:spacing w:val="-4"/>
          <w:sz w:val="20"/>
        </w:rPr>
        <w:t> </w:t>
      </w:r>
      <w:r>
        <w:rPr>
          <w:sz w:val="20"/>
        </w:rPr>
        <w:t>incorporated</w:t>
      </w:r>
      <w:r>
        <w:rPr>
          <w:spacing w:val="-5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z w:val="20"/>
        </w:rPr>
        <w:t>you</w:t>
      </w:r>
      <w:r>
        <w:rPr>
          <w:spacing w:val="-5"/>
          <w:sz w:val="20"/>
        </w:rPr>
        <w:t> </w:t>
      </w:r>
      <w:r>
        <w:rPr>
          <w:sz w:val="20"/>
        </w:rPr>
        <w:t>have</w:t>
      </w:r>
      <w:r>
        <w:rPr>
          <w:spacing w:val="-6"/>
          <w:sz w:val="20"/>
        </w:rPr>
        <w:t> </w:t>
      </w:r>
      <w:r>
        <w:rPr>
          <w:sz w:val="20"/>
        </w:rPr>
        <w:t>your</w:t>
      </w:r>
      <w:r>
        <w:rPr>
          <w:spacing w:val="-4"/>
          <w:sz w:val="20"/>
        </w:rPr>
        <w:t> </w:t>
      </w:r>
      <w:r>
        <w:rPr>
          <w:sz w:val="20"/>
        </w:rPr>
        <w:t>principal</w:t>
      </w:r>
      <w:r>
        <w:rPr>
          <w:spacing w:val="-7"/>
          <w:sz w:val="20"/>
        </w:rPr>
        <w:t> </w:t>
      </w:r>
      <w:r>
        <w:rPr>
          <w:sz w:val="20"/>
        </w:rPr>
        <w:t>place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business.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BodyText"/>
        <w:spacing w:before="1"/>
        <w:ind w:left="629"/>
      </w:pPr>
      <w:r>
        <w:rPr/>
        <w:t>All</w:t>
      </w:r>
      <w:r>
        <w:rPr>
          <w:spacing w:val="-8"/>
        </w:rPr>
        <w:t> </w:t>
      </w:r>
      <w:r>
        <w:rPr/>
        <w:t>other</w:t>
      </w:r>
      <w:r>
        <w:rPr>
          <w:spacing w:val="-5"/>
        </w:rPr>
        <w:t> </w:t>
      </w:r>
      <w:r>
        <w:rPr/>
        <w:t>terms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conditions</w:t>
      </w:r>
      <w:r>
        <w:rPr>
          <w:spacing w:val="-5"/>
        </w:rPr>
        <w:t> </w:t>
      </w:r>
      <w:r>
        <w:rPr/>
        <w:t>of</w:t>
      </w:r>
      <w:r>
        <w:rPr>
          <w:spacing w:val="-6"/>
        </w:rPr>
        <w:t> </w:t>
      </w:r>
      <w:r>
        <w:rPr/>
        <w:t>this</w:t>
      </w:r>
      <w:r>
        <w:rPr>
          <w:spacing w:val="-5"/>
        </w:rPr>
        <w:t> </w:t>
      </w:r>
      <w:r>
        <w:rPr/>
        <w:t>Policy</w:t>
      </w:r>
      <w:r>
        <w:rPr>
          <w:spacing w:val="-6"/>
        </w:rPr>
        <w:t> </w:t>
      </w:r>
      <w:r>
        <w:rPr/>
        <w:t>remain</w:t>
      </w:r>
      <w:r>
        <w:rPr>
          <w:spacing w:val="-6"/>
        </w:rPr>
        <w:t> </w:t>
      </w:r>
      <w:r>
        <w:rPr>
          <w:spacing w:val="-2"/>
        </w:rPr>
        <w:t>unchanged.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3884908</wp:posOffset>
                </wp:positionH>
                <wp:positionV relativeFrom="paragraph">
                  <wp:posOffset>291836</wp:posOffset>
                </wp:positionV>
                <wp:extent cx="1624965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624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4965" h="0">
                              <a:moveTo>
                                <a:pt x="0" y="0"/>
                              </a:moveTo>
                              <a:lnTo>
                                <a:pt x="1624758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898346pt;margin-top:22.979229pt;width:127.95pt;height:.1pt;mso-position-horizontal-relative:page;mso-position-vertical-relative:paragraph;z-index:-15728640;mso-wrap-distance-left:0;mso-wrap-distance-right:0" id="docshape4" coordorigin="6118,460" coordsize="2559,0" path="m6118,460l8677,460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2"/>
        <w:ind w:left="5397"/>
      </w:pPr>
      <w:r>
        <w:rPr/>
        <w:t>Authorized</w:t>
      </w:r>
      <w:r>
        <w:rPr>
          <w:spacing w:val="-13"/>
        </w:rPr>
        <w:t> </w:t>
      </w:r>
      <w:r>
        <w:rPr>
          <w:spacing w:val="-2"/>
        </w:rPr>
        <w:t>Representative</w:t>
      </w:r>
    </w:p>
    <w:sectPr>
      <w:footerReference w:type="default" r:id="rId5"/>
      <w:type w:val="continuous"/>
      <w:pgSz w:w="12240" w:h="15840"/>
      <w:pgMar w:header="0" w:footer="930" w:top="1080" w:bottom="1120" w:left="720" w:right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0976">
              <wp:simplePos x="0" y="0"/>
              <wp:positionH relativeFrom="page">
                <wp:posOffset>330200</wp:posOffset>
              </wp:positionH>
              <wp:positionV relativeFrom="page">
                <wp:posOffset>9328391</wp:posOffset>
              </wp:positionV>
              <wp:extent cx="715010" cy="1397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148522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6pt;margin-top:734.518982pt;width:56.3pt;height:11pt;mso-position-horizontal-relative:page;mso-position-vertical-relative:page;z-index:-15765504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148522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pacing w:val="-2"/>
                        <w:sz w:val="16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51488">
              <wp:simplePos x="0" y="0"/>
              <wp:positionH relativeFrom="page">
                <wp:posOffset>1585924</wp:posOffset>
              </wp:positionH>
              <wp:positionV relativeFrom="page">
                <wp:posOffset>9328391</wp:posOffset>
              </wp:positionV>
              <wp:extent cx="4144010" cy="1397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440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©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2020,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Hartford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Steam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Boiler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Inspection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Insurance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Company.</w:t>
                          </w:r>
                          <w:r>
                            <w:rPr>
                              <w:spacing w:val="3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All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rights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reserved.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24.875923pt;margin-top:734.518982pt;width:326.3pt;height:11pt;mso-position-horizontal-relative:page;mso-position-vertical-relative:page;z-index:-15764992" type="#_x0000_t202" id="docshape2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©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2020,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Hartford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Steam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Boiler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Inspection</w:t>
                    </w:r>
                    <w:r>
                      <w:rPr>
                        <w:spacing w:val="-4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5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Insurance</w:t>
                    </w:r>
                    <w:r>
                      <w:rPr>
                        <w:spacing w:val="-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Company.</w:t>
                    </w:r>
                    <w:r>
                      <w:rPr>
                        <w:spacing w:val="36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All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rights</w:t>
                    </w:r>
                    <w:r>
                      <w:rPr>
                        <w:spacing w:val="-3"/>
                        <w:sz w:val="16"/>
                      </w:rPr>
                      <w:t> </w:t>
                    </w:r>
                    <w:r>
                      <w:rPr>
                        <w:spacing w:val="-2"/>
                        <w:sz w:val="16"/>
                      </w:rPr>
                      <w:t>reserved.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52000">
              <wp:simplePos x="0" y="0"/>
              <wp:positionH relativeFrom="page">
                <wp:posOffset>6554091</wp:posOffset>
              </wp:positionH>
              <wp:positionV relativeFrom="page">
                <wp:posOffset>9328391</wp:posOffset>
              </wp:positionV>
              <wp:extent cx="547370" cy="1397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473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of </w:t>
                          </w:r>
                          <w:r>
                            <w:rPr>
                              <w:b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6.07019pt;margin-top:734.518982pt;width:43.1pt;height:11pt;mso-position-horizontal-relative:page;mso-position-vertical-relative:page;z-index:-15764480" type="#_x0000_t202" id="docshape3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spacing w:val="-2"/>
                        <w:sz w:val="16"/>
                      </w:rPr>
                      <w:t> </w:t>
                    </w:r>
                    <w:r>
                      <w:rPr>
                        <w:b/>
                        <w:sz w:val="16"/>
                      </w:rPr>
                      <w:t>1</w:t>
                    </w:r>
                    <w:r>
                      <w:rPr>
                        <w:b/>
                        <w:spacing w:val="-2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of </w:t>
                    </w:r>
                    <w:r>
                      <w:rPr>
                        <w:b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3"/>
      <w:numFmt w:val="lowerLetter"/>
      <w:lvlText w:val="%1."/>
      <w:lvlJc w:val="left"/>
      <w:pPr>
        <w:ind w:left="1049" w:hanging="42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(%2)"/>
      <w:lvlJc w:val="left"/>
      <w:pPr>
        <w:ind w:left="1378" w:hanging="30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6" w:hanging="3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3" w:hanging="3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20" w:hanging="3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66" w:hanging="3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613" w:hanging="3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60" w:hanging="3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06" w:hanging="3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30" w:hanging="272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2"/>
      <w:numFmt w:val="lowerLetter"/>
      <w:lvlText w:val="%2."/>
      <w:lvlJc w:val="left"/>
      <w:pPr>
        <w:ind w:left="1079" w:hanging="449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438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5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9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60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jc w:val="center"/>
    </w:pPr>
    <w:rPr>
      <w:rFonts w:ascii="Arial" w:hAnsi="Arial" w:eastAsia="Arial" w:cs="Arial"/>
      <w:b/>
      <w:bCs/>
      <w:sz w:val="32"/>
      <w:szCs w:val="3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376" w:hanging="298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Munich Re Group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MacGougan</dc:creator>
  <dc:title>DATA COMPROMISE COVERAGE ENDORSEMENT</dc:title>
  <dcterms:created xsi:type="dcterms:W3CDTF">2025-08-05T10:28:49Z</dcterms:created>
  <dcterms:modified xsi:type="dcterms:W3CDTF">2025-08-05T10:28:49Z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ontentTypeId">
    <vt:lpwstr>0x010100F1BC14C02EA86C4E970276DC59C61371</vt:lpwstr>
  </property>
  <property fmtid="{D5CDD505-2E9C-101B-9397-08002B2CF9AE}" pid="4" name="Created">
    <vt:filetime>2025-06-16T00:00:00Z</vt:filetime>
  </property>
  <property fmtid="{D5CDD505-2E9C-101B-9397-08002B2CF9AE}" pid="5" name="Creator">
    <vt:lpwstr>Acrobat PDFMaker 25 for Word</vt:lpwstr>
  </property>
  <property fmtid="{D5CDD505-2E9C-101B-9397-08002B2CF9AE}" pid="6" name="LastSaved">
    <vt:filetime>2025-08-05T00:00:00Z</vt:filetime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nabled">
    <vt:lpwstr>True</vt:lpwstr>
  </property>
  <property fmtid="{D5CDD505-2E9C-101B-9397-08002B2CF9AE}" pid="9" name="MSIP_Label_01ddd689-1b54-4017-aaea-969e7802d22c_Extended_MSFT_Method">
    <vt:lpwstr>Automatic</vt:lpwstr>
  </property>
  <property fmtid="{D5CDD505-2E9C-101B-9397-08002B2CF9AE}" pid="10" name="MSIP_Label_01ddd689-1b54-4017-aaea-969e7802d22c_Name">
    <vt:lpwstr>C3</vt:lpwstr>
  </property>
  <property fmtid="{D5CDD505-2E9C-101B-9397-08002B2CF9AE}" pid="11" name="MSIP_Label_01ddd689-1b54-4017-aaea-969e7802d22c_Owner">
    <vt:lpwstr>tina_desroches@hsb.com</vt:lpwstr>
  </property>
  <property fmtid="{D5CDD505-2E9C-101B-9397-08002B2CF9AE}" pid="12" name="MSIP_Label_01ddd689-1b54-4017-aaea-969e7802d22c_SetDate">
    <vt:lpwstr>2018-12-05T13:31:04.2137133Z</vt:lpwstr>
  </property>
  <property fmtid="{D5CDD505-2E9C-101B-9397-08002B2CF9AE}" pid="13" name="MSIP_Label_01ddd689-1b54-4017-aaea-969e7802d22c_SiteId">
    <vt:lpwstr>582259a1-dcaa-4cca-b1cf-e60d3f045ecd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Enabled">
    <vt:lpwstr>True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MSIP_Label_9805f1d6-ddd4-440e-89c4-7ba0aee99abb_Name">
    <vt:lpwstr>confidential (no footer)</vt:lpwstr>
  </property>
  <property fmtid="{D5CDD505-2E9C-101B-9397-08002B2CF9AE}" pid="18" name="MSIP_Label_9805f1d6-ddd4-440e-89c4-7ba0aee99abb_Owner">
    <vt:lpwstr>tina_desroches@hsb.com</vt:lpwstr>
  </property>
  <property fmtid="{D5CDD505-2E9C-101B-9397-08002B2CF9AE}" pid="19" name="MSIP_Label_9805f1d6-ddd4-440e-89c4-7ba0aee99abb_Parent">
    <vt:lpwstr>01ddd689-1b54-4017-aaea-969e7802d22c</vt:lpwstr>
  </property>
  <property fmtid="{D5CDD505-2E9C-101B-9397-08002B2CF9AE}" pid="20" name="MSIP_Label_9805f1d6-ddd4-440e-89c4-7ba0aee99abb_SetDate">
    <vt:lpwstr>2018-12-05T13:31:04.2137133Z</vt:lpwstr>
  </property>
  <property fmtid="{D5CDD505-2E9C-101B-9397-08002B2CF9AE}" pid="21" name="MSIP_Label_9805f1d6-ddd4-440e-89c4-7ba0aee99abb_SiteId">
    <vt:lpwstr>582259a1-dcaa-4cca-b1cf-e60d3f045ecd</vt:lpwstr>
  </property>
  <property fmtid="{D5CDD505-2E9C-101B-9397-08002B2CF9AE}" pid="22" name="Producer">
    <vt:lpwstr>Adobe PDF Library 25.1.250</vt:lpwstr>
  </property>
  <property fmtid="{D5CDD505-2E9C-101B-9397-08002B2CF9AE}" pid="23" name="SourceModified">
    <vt:lpwstr>D:20250616151125</vt:lpwstr>
  </property>
</Properties>
</file>